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21A3D" w14:textId="77777777" w:rsidR="00A45611" w:rsidRDefault="00A45611" w:rsidP="00A45611">
      <w:pPr>
        <w:shd w:val="clear" w:color="auto" w:fill="FFFFFF"/>
        <w:spacing w:after="420" w:line="240" w:lineRule="auto"/>
        <w:rPr>
          <w:rFonts w:ascii="Arial" w:eastAsia="Times New Roman" w:hAnsi="Arial" w:cs="Arial"/>
          <w:b/>
          <w:bCs/>
          <w:color w:val="58595B"/>
          <w:sz w:val="24"/>
          <w:szCs w:val="24"/>
          <w:lang w:eastAsia="it-IT"/>
        </w:rPr>
      </w:pPr>
    </w:p>
    <w:p w14:paraId="72310E8C" w14:textId="1F41FECB" w:rsidR="00A45611" w:rsidRDefault="00A45611" w:rsidP="00A4561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>20 gennaio 2022</w:t>
      </w:r>
    </w:p>
    <w:p w14:paraId="41D878B4" w14:textId="13BFE2D5" w:rsidR="00563E29" w:rsidRPr="00A45611" w:rsidRDefault="00563E29" w:rsidP="00A4561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436DB0C3" wp14:editId="62230932">
            <wp:extent cx="2857500" cy="1600200"/>
            <wp:effectExtent l="0" t="0" r="0" b="0"/>
            <wp:docPr id="9" name="Immagine 9" descr="Temporary Framework crisi Ucraina-Russia | FIAP Autotrasp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mporary Framework crisi Ucraina-Russia | FIAP Autotraspor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7C4EF" w14:textId="2D355600" w:rsidR="00A45611" w:rsidRPr="00C87A62" w:rsidRDefault="00A45611" w:rsidP="00A4561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 w:rsidRPr="00C87A62"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Proroga delle agevolazioni del </w:t>
      </w:r>
      <w:proofErr w:type="spellStart"/>
      <w:r w:rsidRPr="00C87A62">
        <w:rPr>
          <w:rFonts w:ascii="Arial" w:eastAsia="Times New Roman" w:hAnsi="Arial" w:cs="Arial"/>
          <w:color w:val="58595B"/>
          <w:sz w:val="24"/>
          <w:szCs w:val="24"/>
          <w:lang w:eastAsia="it-IT"/>
        </w:rPr>
        <w:t>Temporary</w:t>
      </w:r>
      <w:proofErr w:type="spellEnd"/>
      <w:r w:rsidRPr="00C87A62"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 Framework fino al 30 giugno 2022.</w:t>
      </w:r>
    </w:p>
    <w:p w14:paraId="3A0AC710" w14:textId="3D217448" w:rsidR="00A45611" w:rsidRPr="00A45611" w:rsidRDefault="00A45611" w:rsidP="00A45611">
      <w:pPr>
        <w:shd w:val="clear" w:color="auto" w:fill="FFFFFF"/>
        <w:spacing w:after="420" w:line="240" w:lineRule="auto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Le agevolazioni del </w:t>
      </w:r>
      <w:proofErr w:type="spellStart"/>
      <w:r>
        <w:rPr>
          <w:rFonts w:ascii="Arial" w:eastAsia="Times New Roman" w:hAnsi="Arial" w:cs="Arial"/>
          <w:color w:val="58595B"/>
          <w:sz w:val="24"/>
          <w:szCs w:val="24"/>
          <w:lang w:eastAsia="it-IT"/>
        </w:rPr>
        <w:t>Temporary</w:t>
      </w:r>
      <w:proofErr w:type="spellEnd"/>
      <w:r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 Framework sono state prorogate fino al 30 giugno 2022. La</w:t>
      </w:r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 proroga è confermata con le modifiche introdotte dalla Legge di Bilancio 2022:</w:t>
      </w:r>
    </w:p>
    <w:p w14:paraId="4A837A2B" w14:textId="77777777" w:rsidR="00A45611" w:rsidRPr="00A45611" w:rsidRDefault="00A45611" w:rsidP="00A4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Dal </w:t>
      </w:r>
      <w:proofErr w:type="gramStart"/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>1 gennaio</w:t>
      </w:r>
      <w:proofErr w:type="gramEnd"/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 2022 la copertura di garanzia scenderà all’80% per le richieste ai sensi della Lettera m)</w:t>
      </w:r>
    </w:p>
    <w:p w14:paraId="30F296CB" w14:textId="77777777" w:rsidR="00A45611" w:rsidRPr="00A45611" w:rsidRDefault="00A45611" w:rsidP="00A456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Dal </w:t>
      </w:r>
      <w:proofErr w:type="gramStart"/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>1 aprile</w:t>
      </w:r>
      <w:proofErr w:type="gramEnd"/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 xml:space="preserve"> 2022 è reintrodotta la commissione una tantum da versare al Fondo ove previsto</w:t>
      </w:r>
    </w:p>
    <w:p w14:paraId="658FB50C" w14:textId="77777777" w:rsidR="00A45611" w:rsidRPr="00A45611" w:rsidRDefault="00A45611" w:rsidP="00A456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8595B"/>
          <w:sz w:val="24"/>
          <w:szCs w:val="24"/>
          <w:lang w:eastAsia="it-IT"/>
        </w:rPr>
      </w:pPr>
      <w:r w:rsidRPr="00A45611">
        <w:rPr>
          <w:rFonts w:ascii="Arial" w:eastAsia="Times New Roman" w:hAnsi="Arial" w:cs="Arial"/>
          <w:color w:val="58595B"/>
          <w:sz w:val="24"/>
          <w:szCs w:val="24"/>
          <w:lang w:eastAsia="it-IT"/>
        </w:rPr>
        <w:t>Si conferma, inoltre, la possibilità di presentare richieste di garanzia per le operazioni fino a 30mila euro anche in favore degli enti non commerciali, compresi gli enti del terzo settore e gli enti religiosi civilmente riconosciuti.</w:t>
      </w:r>
    </w:p>
    <w:p w14:paraId="289CA568" w14:textId="77777777" w:rsidR="00A45611" w:rsidRDefault="00A45611" w:rsidP="00A45611"/>
    <w:p w14:paraId="4BFEBC44" w14:textId="77777777" w:rsidR="00A45611" w:rsidRDefault="00A45611" w:rsidP="00A45611"/>
    <w:p w14:paraId="60DD80BB" w14:textId="6BF6DBFD" w:rsidR="00A45611" w:rsidRDefault="00A45611" w:rsidP="00A45611"/>
    <w:p w14:paraId="78625C43" w14:textId="707A7125" w:rsidR="00563E29" w:rsidRDefault="00563E29" w:rsidP="00A45611"/>
    <w:p w14:paraId="24538D8E" w14:textId="346A56D4" w:rsidR="00563E29" w:rsidRDefault="00563E29" w:rsidP="00A45611"/>
    <w:p w14:paraId="6E91DF7A" w14:textId="6D372AB4" w:rsidR="00563E29" w:rsidRDefault="00563E29" w:rsidP="00A45611"/>
    <w:p w14:paraId="786E1E11" w14:textId="33847AEC" w:rsidR="00563E29" w:rsidRDefault="00563E29" w:rsidP="00A45611"/>
    <w:p w14:paraId="7C6C763D" w14:textId="6800FF70" w:rsidR="00563E29" w:rsidRDefault="00563E29" w:rsidP="00A45611"/>
    <w:p w14:paraId="09546081" w14:textId="0506EF29" w:rsidR="00563E29" w:rsidRDefault="00563E29" w:rsidP="00A45611"/>
    <w:p w14:paraId="7611B781" w14:textId="20B9D83C" w:rsidR="00563E29" w:rsidRDefault="00563E29" w:rsidP="00A45611"/>
    <w:p w14:paraId="14A93FC1" w14:textId="3BFF8D4E" w:rsidR="00563E29" w:rsidRDefault="00563E29" w:rsidP="00A45611"/>
    <w:p w14:paraId="55DCBA08" w14:textId="0FD9B6CD" w:rsidR="00563E29" w:rsidRDefault="00563E29" w:rsidP="00A45611"/>
    <w:p w14:paraId="2E468D8C" w14:textId="77777777" w:rsidR="00563E29" w:rsidRDefault="00563E29" w:rsidP="00A45611"/>
    <w:p w14:paraId="22B75BE0" w14:textId="6E9E028F" w:rsidR="00A45611" w:rsidRDefault="00A45611" w:rsidP="00A45611">
      <w:r>
        <w:lastRenderedPageBreak/>
        <w:t>14 giugno 2022</w:t>
      </w:r>
    </w:p>
    <w:p w14:paraId="223DD44A" w14:textId="431730F2" w:rsidR="00A45611" w:rsidRPr="00A45611" w:rsidRDefault="00A45611" w:rsidP="00A45611">
      <w:r w:rsidRPr="00A45611">
        <w:t>CONFIRES 2022: A</w:t>
      </w:r>
      <w:r w:rsidR="00C87A62">
        <w:t>lla scoperta del nuovo mondo</w:t>
      </w:r>
    </w:p>
    <w:p w14:paraId="2F06CE61" w14:textId="77777777" w:rsidR="00A45611" w:rsidRPr="00A45611" w:rsidRDefault="00A45611" w:rsidP="00A45611">
      <w:r w:rsidRPr="00A45611">
        <w:t>Una mappa per orientarsi tra nuovi attori, strumenti digitali e PNRR.</w:t>
      </w:r>
    </w:p>
    <w:p w14:paraId="33282ED0" w14:textId="4B55301B" w:rsidR="00A45611" w:rsidRPr="00A45611" w:rsidRDefault="00A45611" w:rsidP="00A45611">
      <w:r w:rsidRPr="00A45611">
        <w:rPr>
          <w:noProof/>
        </w:rPr>
        <w:drawing>
          <wp:inline distT="0" distB="0" distL="0" distR="0" wp14:anchorId="19927276" wp14:editId="6503515C">
            <wp:extent cx="6120130" cy="34417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8B7A8" w14:textId="314257E6" w:rsidR="00A45611" w:rsidRPr="00A45611" w:rsidRDefault="00A45611" w:rsidP="00A45611">
      <w:r w:rsidRPr="00A45611">
        <w:t>Si svolgerà a Firenze il </w:t>
      </w:r>
      <w:r w:rsidRPr="00A45611">
        <w:rPr>
          <w:b/>
          <w:bCs/>
        </w:rPr>
        <w:t xml:space="preserve">21 e 22 </w:t>
      </w:r>
      <w:proofErr w:type="spellStart"/>
      <w:r w:rsidRPr="00A45611">
        <w:rPr>
          <w:b/>
          <w:bCs/>
        </w:rPr>
        <w:t>gugno</w:t>
      </w:r>
      <w:proofErr w:type="spellEnd"/>
      <w:r w:rsidRPr="00A45611">
        <w:t> la 16ma edizione di </w:t>
      </w:r>
      <w:proofErr w:type="spellStart"/>
      <w:r w:rsidRPr="00A45611">
        <w:rPr>
          <w:b/>
          <w:bCs/>
        </w:rPr>
        <w:t>Confires</w:t>
      </w:r>
      <w:proofErr w:type="spellEnd"/>
      <w:r w:rsidRPr="00A45611">
        <w:rPr>
          <w:b/>
          <w:bCs/>
        </w:rPr>
        <w:t xml:space="preserve"> - l'evento di riferimento dei Confidi italiani</w:t>
      </w:r>
      <w:r w:rsidRPr="00A45611">
        <w:t> che dal 2006 rappresenta un </w:t>
      </w:r>
      <w:r w:rsidRPr="00A45611">
        <w:rPr>
          <w:b/>
          <w:bCs/>
        </w:rPr>
        <w:t>importante momento di incontro e confronto</w:t>
      </w:r>
      <w:r w:rsidRPr="00A45611">
        <w:t> su temi di attualità.</w:t>
      </w:r>
    </w:p>
    <w:p w14:paraId="28CA768F" w14:textId="6209C85D" w:rsidR="00A45611" w:rsidRPr="00A45611" w:rsidRDefault="00A45611" w:rsidP="00A45611">
      <w:proofErr w:type="spellStart"/>
      <w:r w:rsidRPr="00A45611">
        <w:t>Confires</w:t>
      </w:r>
      <w:proofErr w:type="spellEnd"/>
      <w:r>
        <w:t xml:space="preserve"> </w:t>
      </w:r>
      <w:r w:rsidRPr="00A45611">
        <w:t>riunisce i più importanti esponenti del credito e della garanzia: </w:t>
      </w:r>
      <w:r w:rsidRPr="00A45611">
        <w:rPr>
          <w:b/>
          <w:bCs/>
        </w:rPr>
        <w:t>banche, confidi, società finanziarie, società di mediazione creditizia, fintech</w:t>
      </w:r>
      <w:r w:rsidRPr="00A45611">
        <w:t xml:space="preserve"> per mettere a fattor comune nuove </w:t>
      </w:r>
      <w:proofErr w:type="gramStart"/>
      <w:r w:rsidRPr="00A45611">
        <w:t>prospettive,  nuovi</w:t>
      </w:r>
      <w:proofErr w:type="gramEnd"/>
      <w:r w:rsidRPr="00A45611">
        <w:t xml:space="preserve"> modelli di Business, diversi approcci alle imprese.</w:t>
      </w:r>
    </w:p>
    <w:p w14:paraId="7A330D35" w14:textId="4990AB59" w:rsidR="00A45611" w:rsidRDefault="00A45611" w:rsidP="00A45611">
      <w:r w:rsidRPr="00A45611">
        <w:t xml:space="preserve">Anche </w:t>
      </w:r>
      <w:proofErr w:type="spellStart"/>
      <w:r>
        <w:t>Confinet</w:t>
      </w:r>
      <w:proofErr w:type="spellEnd"/>
      <w:r w:rsidRPr="00A45611">
        <w:t xml:space="preserve"> parteciperà all'evento</w:t>
      </w:r>
      <w:r>
        <w:t>.</w:t>
      </w:r>
    </w:p>
    <w:p w14:paraId="4E0A43C8" w14:textId="163836DD" w:rsidR="00A45611" w:rsidRDefault="00A45611" w:rsidP="00A45611"/>
    <w:p w14:paraId="059D7396" w14:textId="5AA24CAC" w:rsidR="00A45611" w:rsidRDefault="00A45611" w:rsidP="00A45611">
      <w:r>
        <w:t>2 settembre 2022</w:t>
      </w:r>
    </w:p>
    <w:p w14:paraId="1F64398E" w14:textId="2617164F" w:rsidR="00563E29" w:rsidRDefault="00563E29" w:rsidP="00A45611"/>
    <w:p w14:paraId="5EBF96A2" w14:textId="079095E9" w:rsidR="00563E29" w:rsidRDefault="00563E29" w:rsidP="00A45611">
      <w:r>
        <w:rPr>
          <w:noProof/>
        </w:rPr>
        <w:drawing>
          <wp:inline distT="0" distB="0" distL="0" distR="0" wp14:anchorId="50D3BF1F" wp14:editId="6657D9EE">
            <wp:extent cx="2857500" cy="1600200"/>
            <wp:effectExtent l="0" t="0" r="0" b="0"/>
            <wp:docPr id="7" name="Immagine 7" descr="Temporary Framework crisi Ucraina-Russia | FIAP Autotraspo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porary Framework crisi Ucraina-Russia | FIAP Autotraspor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0E317" w14:textId="64A4A9B8" w:rsidR="00563E29" w:rsidRDefault="00563E29" w:rsidP="00A45611"/>
    <w:p w14:paraId="1C0FD2CF" w14:textId="77777777" w:rsidR="00563E29" w:rsidRDefault="00563E29" w:rsidP="00A45611"/>
    <w:p w14:paraId="58092D68" w14:textId="06B7EC7C" w:rsidR="00A45611" w:rsidRPr="00A45611" w:rsidRDefault="00A45611" w:rsidP="00A45611">
      <w:r w:rsidRPr="00A45611">
        <w:lastRenderedPageBreak/>
        <w:t xml:space="preserve">Nuovo </w:t>
      </w:r>
      <w:proofErr w:type="spellStart"/>
      <w:r w:rsidRPr="00A45611">
        <w:t>Temporary</w:t>
      </w:r>
      <w:proofErr w:type="spellEnd"/>
      <w:r w:rsidRPr="00A45611">
        <w:t xml:space="preserve"> Framework</w:t>
      </w:r>
    </w:p>
    <w:p w14:paraId="30C720CC" w14:textId="77777777" w:rsidR="00A45611" w:rsidRPr="00A45611" w:rsidRDefault="00A45611" w:rsidP="00A45611">
      <w:r w:rsidRPr="00A45611">
        <w:t xml:space="preserve">Con il Nuovo </w:t>
      </w:r>
      <w:proofErr w:type="spellStart"/>
      <w:r w:rsidRPr="00A45611">
        <w:t>Temporary</w:t>
      </w:r>
      <w:proofErr w:type="spellEnd"/>
      <w:r w:rsidRPr="00A45611">
        <w:t xml:space="preserve"> Framework, la Commissione Europea ha delineato le misure sugli aiuti di Stato a seguito della guerra tra Russia e Ucraina, che resteranno in vigore fino al 31/12/2022.</w:t>
      </w:r>
    </w:p>
    <w:p w14:paraId="1A7DDEB4" w14:textId="3AED26B6" w:rsidR="00A45611" w:rsidRPr="00A45611" w:rsidRDefault="00A45611" w:rsidP="00A45611">
      <w:r w:rsidRPr="00A45611">
        <w:t xml:space="preserve">Il regime italiano da 2,9 miliardi di euro sarà gestito dal Fondo Centrale di Garanzia (MCC), con la previsione che a partire dal 30 agosto 2022 le PMI potranno richiedere l’accesso alla Garanzia MCC ai sensi degli “Aiuti sotto forma di garanzie sui prestiti” (Sezione 2.2 del Nuovo </w:t>
      </w:r>
      <w:proofErr w:type="spellStart"/>
      <w:r w:rsidRPr="00A45611">
        <w:t>Temporary</w:t>
      </w:r>
      <w:proofErr w:type="spellEnd"/>
      <w:r w:rsidRPr="00A45611">
        <w:t xml:space="preserve"> Framework).</w:t>
      </w:r>
    </w:p>
    <w:p w14:paraId="69D556D6" w14:textId="77777777" w:rsidR="00A45611" w:rsidRPr="00A45611" w:rsidRDefault="00A45611" w:rsidP="00A45611">
      <w:r w:rsidRPr="00A45611">
        <w:t> </w:t>
      </w:r>
    </w:p>
    <w:p w14:paraId="7A702A84" w14:textId="00D566BE" w:rsidR="00A45611" w:rsidRDefault="00563E29" w:rsidP="00A45611">
      <w:r>
        <w:t>14 ottobre 2022</w:t>
      </w:r>
    </w:p>
    <w:p w14:paraId="78D0A777" w14:textId="40FCD006" w:rsidR="00563E29" w:rsidRDefault="00AF2925" w:rsidP="00A45611">
      <w:r>
        <w:rPr>
          <w:noProof/>
        </w:rPr>
        <w:drawing>
          <wp:inline distT="0" distB="0" distL="0" distR="0" wp14:anchorId="3DC55E7B" wp14:editId="57C66887">
            <wp:extent cx="2584450" cy="1771650"/>
            <wp:effectExtent l="0" t="0" r="635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4B2CD" w14:textId="2FE24E1A" w:rsidR="00563E29" w:rsidRPr="00563E29" w:rsidRDefault="00563E29" w:rsidP="00563E29">
      <w:r w:rsidRPr="00563E29">
        <w:t>Dal 14 ottobre operative le modifiche alle Disposizioni operative FCG</w:t>
      </w:r>
    </w:p>
    <w:p w14:paraId="562E3412" w14:textId="77777777" w:rsidR="00563E29" w:rsidRPr="00563E29" w:rsidRDefault="00563E29" w:rsidP="00563E29">
      <w:r w:rsidRPr="00563E29">
        <w:t>Dal 14 ottobre sono operative le modifiche e le integrazioni alle </w:t>
      </w:r>
      <w:hyperlink r:id="rId8" w:tgtFrame="_blank" w:history="1">
        <w:r w:rsidRPr="00563E29">
          <w:rPr>
            <w:rStyle w:val="Collegamentoipertestuale"/>
          </w:rPr>
          <w:t>Disposizioni operative</w:t>
        </w:r>
      </w:hyperlink>
      <w:r w:rsidRPr="00563E29">
        <w:t> del Fondo di garanzia approvate con decreto del Ministero dello sviluppo economico del 3 ottobre 2022.</w:t>
      </w:r>
    </w:p>
    <w:p w14:paraId="45906C69" w14:textId="140D65EC" w:rsidR="00563E29" w:rsidRPr="00563E29" w:rsidRDefault="00563E29" w:rsidP="00563E29">
      <w:r>
        <w:t>L</w:t>
      </w:r>
      <w:r w:rsidRPr="00563E29">
        <w:t xml:space="preserve">e novità </w:t>
      </w:r>
      <w:r>
        <w:t>nel</w:t>
      </w:r>
      <w:r w:rsidRPr="00563E29">
        <w:t>la </w:t>
      </w:r>
      <w:hyperlink r:id="rId9" w:tgtFrame="_blank" w:history="1">
        <w:r w:rsidRPr="00563E29">
          <w:rPr>
            <w:rStyle w:val="Collegamentoipertestuale"/>
          </w:rPr>
          <w:t>Circolare n. 8/2022</w:t>
        </w:r>
      </w:hyperlink>
      <w:r w:rsidRPr="00563E29">
        <w:t> del gestore Mediocredito Centrale</w:t>
      </w:r>
      <w:r>
        <w:t>.</w:t>
      </w:r>
    </w:p>
    <w:p w14:paraId="17DAFA3D" w14:textId="77777777" w:rsidR="00563E29" w:rsidRPr="00563E29" w:rsidRDefault="00563E29" w:rsidP="00563E29">
      <w:pPr>
        <w:rPr>
          <w:b/>
          <w:bCs/>
        </w:rPr>
      </w:pPr>
    </w:p>
    <w:p w14:paraId="07272A01" w14:textId="63FA1385" w:rsidR="00563E29" w:rsidRDefault="00AF2925" w:rsidP="00A45611">
      <w:r>
        <w:t>7 dicembre 2022</w:t>
      </w:r>
    </w:p>
    <w:p w14:paraId="0BCBBB13" w14:textId="05912163" w:rsidR="00AF2925" w:rsidRDefault="00AF2925" w:rsidP="00A45611">
      <w:r>
        <w:rPr>
          <w:noProof/>
        </w:rPr>
        <w:drawing>
          <wp:inline distT="0" distB="0" distL="0" distR="0" wp14:anchorId="2BBA96ED" wp14:editId="303CD246">
            <wp:extent cx="2146300" cy="2146300"/>
            <wp:effectExtent l="0" t="0" r="6350" b="635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0D19E" w14:textId="70B33536" w:rsidR="00AF2925" w:rsidRDefault="00AF2925" w:rsidP="00A45611">
      <w:r>
        <w:t>Nuova Sabatini Green</w:t>
      </w:r>
    </w:p>
    <w:p w14:paraId="260D484D" w14:textId="01A9A3B5" w:rsidR="00AF2925" w:rsidRPr="00AF2925" w:rsidRDefault="00AF2925" w:rsidP="00A45611">
      <w:r w:rsidRPr="00AF2925">
        <w:t>Con la Circolare n. 410823 datata 6 dicembre 2022, il MIMI ha definito i termini e le modalità di presentazione delle domande 2023 per l’accesso agli incentivi ministeriali, che prevedono da quest’anno nuova modulistica e documentazione per adeguamento alle novità: dal 1° gennaio 2023 è infatti prevista l’estensione agli investimenti per la</w:t>
      </w:r>
      <w:r>
        <w:t xml:space="preserve"> transizione ecologica</w:t>
      </w:r>
      <w:r w:rsidRPr="00AF2925">
        <w:t xml:space="preserve"> e una maggiorazione del contributo del </w:t>
      </w:r>
      <w:r w:rsidRPr="00AF2925">
        <w:lastRenderedPageBreak/>
        <w:t>30%.</w:t>
      </w:r>
      <w:r>
        <w:t xml:space="preserve"> C</w:t>
      </w:r>
      <w:r w:rsidRPr="00AF2925">
        <w:t>on la legge di bilancio 2023, sono stati stanziati ulteriori 150 milioni di euro per assicurare la continuità operativa della misura Nuova Sabatini.</w:t>
      </w:r>
    </w:p>
    <w:p w14:paraId="2C65530B" w14:textId="77777777" w:rsidR="00A45611" w:rsidRPr="00A45611" w:rsidRDefault="00A45611" w:rsidP="00A45611"/>
    <w:p w14:paraId="69893487" w14:textId="77777777" w:rsidR="00EE0497" w:rsidRDefault="00EE0497"/>
    <w:sectPr w:rsidR="00EE04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947"/>
    <w:multiLevelType w:val="multilevel"/>
    <w:tmpl w:val="4866D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034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11"/>
    <w:rsid w:val="001351F8"/>
    <w:rsid w:val="00563E29"/>
    <w:rsid w:val="007C4060"/>
    <w:rsid w:val="00A45611"/>
    <w:rsid w:val="00AF2925"/>
    <w:rsid w:val="00C87A62"/>
    <w:rsid w:val="00EE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A6B9"/>
  <w15:chartTrackingRefBased/>
  <w15:docId w15:val="{EF461232-68D7-491A-A53B-C5393D5B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63E2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3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6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5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59896">
                      <w:marLeft w:val="-825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6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6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3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ECECF0"/>
            <w:right w:val="none" w:sz="0" w:space="0" w:color="auto"/>
          </w:divBdr>
          <w:divsChild>
            <w:div w:id="202821265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idigaranzia.it/wp-content/uploads/2022/10/DISPOSIZIONI_OPERATIVE_VERSIONE_approvate_20220527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fondidigaranzia.it/wp-content/uploads/2022/10/20221014_Circolare-N.8-2022_Nuove-D.O_clean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Giordano</dc:creator>
  <cp:keywords/>
  <dc:description/>
  <cp:lastModifiedBy>Massimo Giordano</cp:lastModifiedBy>
  <cp:revision>3</cp:revision>
  <dcterms:created xsi:type="dcterms:W3CDTF">2023-02-08T09:54:00Z</dcterms:created>
  <dcterms:modified xsi:type="dcterms:W3CDTF">2023-02-09T14:49:00Z</dcterms:modified>
</cp:coreProperties>
</file>